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Załącznik nr 6 do ZW 121/2020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WYDZIAŁ ZARZĄDZANIA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Style w:val="Heading2"/>
              <w:numPr>
                <w:ilvl w:val="1"/>
                <w:numId w:val="2"/>
              </w:numPr>
              <w:ind w:left="576" w:firstLine="1800"/>
              <w:rPr/>
            </w:pPr>
            <w:r w:rsidDel="00000000" w:rsidR="00000000" w:rsidRPr="00000000">
              <w:rPr>
                <w:rtl w:val="0"/>
              </w:rPr>
              <w:t xml:space="preserve">           KARTA PRZEDMIOTU</w:t>
            </w:r>
          </w:p>
          <w:p w:rsidR="00000000" w:rsidDel="00000000" w:rsidP="00000000" w:rsidRDefault="00000000" w:rsidRPr="00000000" w14:paraId="00000006">
            <w:pPr>
              <w:pStyle w:val="Heading2"/>
              <w:numPr>
                <w:ilvl w:val="1"/>
                <w:numId w:val="1"/>
              </w:numPr>
              <w:ind w:left="0" w:hanging="576"/>
              <w:rPr/>
            </w:pPr>
            <w:r w:rsidDel="00000000" w:rsidR="00000000" w:rsidRPr="00000000">
              <w:rPr>
                <w:rtl w:val="0"/>
              </w:rPr>
              <w:t xml:space="preserve">Nazwa przedmiotu w języku polskim: Projektowanie wizualnego przekazu marketingowego</w:t>
            </w:r>
          </w:p>
          <w:p w:rsidR="00000000" w:rsidDel="00000000" w:rsidP="00000000" w:rsidRDefault="00000000" w:rsidRPr="00000000" w14:paraId="00000007">
            <w:pPr>
              <w:pStyle w:val="Heading2"/>
              <w:numPr>
                <w:ilvl w:val="1"/>
                <w:numId w:val="1"/>
              </w:numPr>
              <w:ind w:left="0" w:hanging="576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Nazwa przedmiotu w języku angielskim: Designing a visual marketing message</w:t>
            </w:r>
          </w:p>
          <w:p w:rsidR="00000000" w:rsidDel="00000000" w:rsidP="00000000" w:rsidRDefault="00000000" w:rsidRPr="00000000" w14:paraId="00000008">
            <w:pPr>
              <w:pStyle w:val="Heading2"/>
              <w:numPr>
                <w:ilvl w:val="1"/>
                <w:numId w:val="1"/>
              </w:numPr>
              <w:ind w:left="0" w:hanging="576"/>
              <w:rPr/>
            </w:pPr>
            <w:r w:rsidDel="00000000" w:rsidR="00000000" w:rsidRPr="00000000">
              <w:rPr>
                <w:rtl w:val="0"/>
              </w:rPr>
              <w:t xml:space="preserve">Kierunek studiów:</w:t>
              <w:tab/>
              <w:tab/>
              <w:t xml:space="preserve">Inżynieria zarządzania</w:t>
            </w:r>
          </w:p>
          <w:p w:rsidR="00000000" w:rsidDel="00000000" w:rsidP="00000000" w:rsidRDefault="00000000" w:rsidRPr="00000000" w14:paraId="00000009">
            <w:pPr>
              <w:pStyle w:val="Heading2"/>
              <w:numPr>
                <w:ilvl w:val="1"/>
                <w:numId w:val="1"/>
              </w:numPr>
              <w:ind w:left="0" w:hanging="576"/>
              <w:rPr/>
            </w:pPr>
            <w:r w:rsidDel="00000000" w:rsidR="00000000" w:rsidRPr="00000000">
              <w:rPr>
                <w:rtl w:val="0"/>
              </w:rPr>
              <w:t xml:space="preserve">Specjalność:</w:t>
              <w:tab/>
            </w:r>
          </w:p>
          <w:p w:rsidR="00000000" w:rsidDel="00000000" w:rsidP="00000000" w:rsidRDefault="00000000" w:rsidRPr="00000000" w14:paraId="0000000A">
            <w:pPr>
              <w:pStyle w:val="Heading2"/>
              <w:numPr>
                <w:ilvl w:val="1"/>
                <w:numId w:val="1"/>
              </w:numPr>
              <w:ind w:left="0" w:hanging="576"/>
              <w:rPr/>
            </w:pPr>
            <w:r w:rsidDel="00000000" w:rsidR="00000000" w:rsidRPr="00000000">
              <w:rPr>
                <w:rtl w:val="0"/>
              </w:rPr>
              <w:t xml:space="preserve">Poziom i forma studiów:</w:t>
              <w:tab/>
              <w:t xml:space="preserve">I stopień, stacjonarna</w:t>
            </w:r>
          </w:p>
          <w:p w:rsidR="00000000" w:rsidDel="00000000" w:rsidP="00000000" w:rsidRDefault="00000000" w:rsidRPr="00000000" w14:paraId="0000000B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Rodzaj przedmiotu:</w:t>
              <w:tab/>
              <w:tab/>
              <w:t xml:space="preserve">wybieralny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Kod przedmiotu:</w:t>
              <w:tab/>
              <w:tab/>
              <w:t xml:space="preserve">W08IZZ-SI0106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Grupa kursów:</w:t>
              <w:tab/>
              <w:tab/>
              <w:t xml:space="preserve">Nie</w:t>
            </w:r>
          </w:p>
        </w:tc>
      </w:tr>
    </w:tbl>
    <w:p w:rsidR="00000000" w:rsidDel="00000000" w:rsidP="00000000" w:rsidRDefault="00000000" w:rsidRPr="00000000" w14:paraId="0000000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00"/>
        <w:gridCol w:w="1110"/>
        <w:gridCol w:w="1260"/>
        <w:gridCol w:w="1425"/>
        <w:gridCol w:w="1260"/>
        <w:gridCol w:w="1485"/>
        <w:tblGridChange w:id="0">
          <w:tblGrid>
            <w:gridCol w:w="2700"/>
            <w:gridCol w:w="1110"/>
            <w:gridCol w:w="1260"/>
            <w:gridCol w:w="1425"/>
            <w:gridCol w:w="1260"/>
            <w:gridCol w:w="148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Wykład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Ćwiczenia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Laboratorium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Projekt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Seminarium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zajęć zorganizowanych w Uczelni (ZZU)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Liczba godzin całkowitego nakładu pracy studenta (CNPS)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Forma zaliczenia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Zaliczenie na ocenę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Dla grupy kursów zaznaczyć kurs końcowy (X)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Liczba punktów ECTS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odpowiadająca zajęciom </w:t>
            </w:r>
          </w:p>
          <w:p w:rsidR="00000000" w:rsidDel="00000000" w:rsidP="00000000" w:rsidRDefault="00000000" w:rsidRPr="00000000" w14:paraId="00000034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charakterze praktycznym (P)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 tym liczba punktów ECTS odpowiadająca zajęciom wymagającym bezpośredniego udziału nauczycieli lub innych osób prowadzących zajęcia  (BU)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1,2</w:t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jc w:val="center"/>
              <w:rPr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sz w:val="22"/>
                <w:szCs w:val="22"/>
                <w:rtl w:val="0"/>
              </w:rPr>
              <w:t xml:space="preserve">WYMAGANIA WSTĘPNE W ZAKRESIE WIEDZY, UMIEJĘTNOŚCI I KOMPETENCJI SPOŁECZNYCH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" w:before="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Rozumie i zna podstawowe funkcjonalności prostych systemów graficznych.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Posiada podstawową wiedzę z zakresu marketingu.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sz w:val="12"/>
          <w:szCs w:val="12"/>
        </w:rPr>
      </w:pPr>
      <w:r w:rsidDel="00000000" w:rsidR="00000000" w:rsidRPr="00000000">
        <w:rPr>
          <w:sz w:val="12"/>
          <w:szCs w:val="12"/>
          <w:rtl w:val="0"/>
        </w:rPr>
        <w:t xml:space="preserve">\</w:t>
      </w:r>
    </w:p>
    <w:tbl>
      <w:tblPr>
        <w:tblStyle w:val="Table4"/>
        <w:tblW w:w="92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CELE PRZEDMIOTU</w:t>
            </w:r>
          </w:p>
          <w:p w:rsidR="00000000" w:rsidDel="00000000" w:rsidP="00000000" w:rsidRDefault="00000000" w:rsidRPr="00000000" w14:paraId="0000004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C1: Zdobycie umiejętności posługiwania się narzędziami analizy i wspomagania projektowania wizualnych przekazów marketingowych.</w:t>
            </w:r>
          </w:p>
          <w:p w:rsidR="00000000" w:rsidDel="00000000" w:rsidP="00000000" w:rsidRDefault="00000000" w:rsidRPr="00000000" w14:paraId="0000004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C2: Nabywanie i utrwalanie kompetencji społecznych polegających na umiejętności współpracy w grupie studenckiej. Kształcenie nawyków współpracy z projektantami wizualnych przekazów marketingowych.</w:t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29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pStyle w:val="Heading4"/>
              <w:keepNext w:val="0"/>
              <w:numPr>
                <w:ilvl w:val="3"/>
                <w:numId w:val="1"/>
              </w:numPr>
              <w:spacing w:after="20" w:before="60" w:lineRule="auto"/>
              <w:ind w:left="862" w:hanging="862"/>
              <w:rPr/>
            </w:pPr>
            <w:r w:rsidDel="00000000" w:rsidR="00000000" w:rsidRPr="00000000">
              <w:rPr>
                <w:rtl w:val="0"/>
              </w:rPr>
              <w:t xml:space="preserve">PRZEDMIOTOWE EFEKTY UCZENIA SIĘ</w:t>
            </w:r>
          </w:p>
          <w:p w:rsidR="00000000" w:rsidDel="00000000" w:rsidP="00000000" w:rsidRDefault="00000000" w:rsidRPr="00000000" w14:paraId="00000051">
            <w:pPr>
              <w:tabs>
                <w:tab w:val="left" w:leader="none" w:pos="719"/>
              </w:tabs>
              <w:ind w:left="719" w:hanging="719"/>
              <w:rPr>
                <w:b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 zakresu umiejętności: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leader="none" w:pos="1285"/>
              </w:tabs>
              <w:ind w:left="1143" w:hanging="1143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PEU_U01:</w:t>
              <w:tab/>
              <w:t xml:space="preserve">Posługuje się wybranymi narzędziami do graficznego projektowania wizualnego przekazu marketingowego.</w:t>
            </w:r>
          </w:p>
          <w:p w:rsidR="00000000" w:rsidDel="00000000" w:rsidP="00000000" w:rsidRDefault="00000000" w:rsidRPr="00000000" w14:paraId="00000053">
            <w:pPr>
              <w:tabs>
                <w:tab w:val="left" w:leader="none" w:pos="1285"/>
              </w:tabs>
              <w:ind w:left="1143" w:hanging="1143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PEU_U02:</w:t>
              <w:tab/>
              <w:t xml:space="preserve">Potrafi zastosować wybrane metody grafiki komputerowej do zaprojektowania wizualnego przekazu marketingowego.</w:t>
            </w:r>
          </w:p>
          <w:p w:rsidR="00000000" w:rsidDel="00000000" w:rsidP="00000000" w:rsidRDefault="00000000" w:rsidRPr="00000000" w14:paraId="00000054">
            <w:pPr>
              <w:tabs>
                <w:tab w:val="left" w:leader="none" w:pos="719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leader="none" w:pos="719"/>
              </w:tabs>
              <w:ind w:left="719" w:hanging="719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 zakresu kompetencji społecznych: 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1285"/>
              </w:tabs>
              <w:ind w:left="1143" w:hanging="1143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PEU_K01:</w:t>
              <w:tab/>
              <w:t xml:space="preserve">Nabywanie i rozwijanie umiejętności zespołowej współpracy w celu optymalnego rozwiązania powierzonych problemów.</w:t>
            </w:r>
          </w:p>
          <w:p w:rsidR="00000000" w:rsidDel="00000000" w:rsidP="00000000" w:rsidRDefault="00000000" w:rsidRPr="00000000" w14:paraId="00000057">
            <w:pPr>
              <w:tabs>
                <w:tab w:val="left" w:leader="none" w:pos="1285"/>
              </w:tabs>
              <w:ind w:left="1143" w:hanging="1143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PEU_K02:</w:t>
              <w:tab/>
              <w:t xml:space="preserve">Rozwijanie zdolności samooceny i samokontroli podczas pracy.</w:t>
            </w:r>
          </w:p>
        </w:tc>
      </w:tr>
    </w:tbl>
    <w:p w:rsidR="00000000" w:rsidDel="00000000" w:rsidP="00000000" w:rsidRDefault="00000000" w:rsidRPr="00000000" w14:paraId="00000058">
      <w:pPr>
        <w:rPr>
          <w:sz w:val="20"/>
          <w:szCs w:val="20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30.0" w:type="dxa"/>
        <w:jc w:val="left"/>
        <w:tblInd w:w="-10.0" w:type="dxa"/>
        <w:tblLayout w:type="fixed"/>
        <w:tblLook w:val="0000"/>
      </w:tblPr>
      <w:tblGrid>
        <w:gridCol w:w="765"/>
        <w:gridCol w:w="6988"/>
        <w:gridCol w:w="1477"/>
        <w:tblGridChange w:id="0">
          <w:tblGrid>
            <w:gridCol w:w="765"/>
            <w:gridCol w:w="6988"/>
            <w:gridCol w:w="1477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Forma zajęć - projekt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pStyle w:val="Heading5"/>
              <w:numPr>
                <w:ilvl w:val="4"/>
                <w:numId w:val="1"/>
              </w:numPr>
              <w:spacing w:after="20" w:before="60" w:lineRule="auto"/>
              <w:ind w:left="14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Liczba godzin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spacing w:after="20" w:before="20" w:lineRule="auto"/>
              <w:rPr>
                <w:sz w:val="22"/>
                <w:szCs w:val="22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Omówienie spraw organizacyjnych.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wstępne założenia i zarys tematyki projektu przekazu marketingowego oraz wybór planowanych do zastosowania metod i technik graficznych.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4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wstępne modelowanie i prototypowanie wariantów przekazu marketingowego.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opracowanie i przygotowanie elementów wizualnego przekazu marketingowego w postaci dwuwymiarowej grafiki rastrowej.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opracowanie i przygotowanie elementów wizualnego przekazu marketingowego w postaci dwuwymiarowej grafiki wektorowej.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opracowanie i przygotowanie elementów wizualnego przekazu marketingowego w postaci trójwymiarowych obiektów graficznych.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0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wykorzystanie sterowania światłem, rzutowania map i nakładania tekstur na trójwymiarowe obiekty graficzne w celu wzbogacenia elementów wizualnego przekazu marketingowego.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opracowanie i przygotowanie prostych animacji trójwymiarowych do uatrakcyjnienia wizualnego przekazu marketingowego.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6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ocena i analiza zaprojektowanych wariantów przekazu marketingowego.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Konsultacje w zespołach projektowych: weryfikacja i walidacja ostatecznej wersji projektu przekazu marketingowego.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Sesja obrony poszczególnych projektów. Przedstawienie wyników prac poszczególnych zespołów w formie prezentacji oraz raportu pisemnego.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spacing w:after="20" w:before="20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spacing w:after="20" w:before="2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Suma godzin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spacing w:after="20" w:before="20" w:lineRule="auto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30</w:t>
            </w:r>
          </w:p>
        </w:tc>
      </w:tr>
    </w:tbl>
    <w:p w:rsidR="00000000" w:rsidDel="00000000" w:rsidP="00000000" w:rsidRDefault="00000000" w:rsidRPr="00000000" w14:paraId="00000081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15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3">
            <w:pPr>
              <w:pStyle w:val="Heading3"/>
              <w:numPr>
                <w:ilvl w:val="2"/>
                <w:numId w:val="1"/>
              </w:numPr>
              <w:spacing w:after="20" w:before="60" w:lineRule="auto"/>
              <w:ind w:left="720" w:hanging="720"/>
              <w:rPr/>
            </w:pPr>
            <w:r w:rsidDel="00000000" w:rsidR="00000000" w:rsidRPr="00000000">
              <w:rPr>
                <w:rtl w:val="0"/>
              </w:rPr>
              <w:t xml:space="preserve">STOSOWANE NARZĘDZIA DYDAKTYCZNE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N1. Tablica sucho ścieralna i markery.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N2. Projektor i prezentacje multimedialne.</w:t>
            </w:r>
          </w:p>
          <w:p w:rsidR="00000000" w:rsidDel="00000000" w:rsidP="00000000" w:rsidRDefault="00000000" w:rsidRPr="00000000" w14:paraId="000000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N3. Oprogramowanie do tworzenia grafiki 2D (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Gimp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N4. Oprogramowanie do modelowania, renderowania i animacji 3D (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3ds Max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OCENA OSIĄGNIĘCIA PRZEDMIOTOWYCH EFEKTÓW UCZENIA SIĘ</w:t>
      </w:r>
    </w:p>
    <w:p w:rsidR="00000000" w:rsidDel="00000000" w:rsidP="00000000" w:rsidRDefault="00000000" w:rsidRPr="00000000" w14:paraId="0000008C">
      <w:pPr>
        <w:jc w:val="center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20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4"/>
        <w:gridCol w:w="2898"/>
        <w:gridCol w:w="3827"/>
        <w:tblGridChange w:id="0">
          <w:tblGrid>
            <w:gridCol w:w="2484"/>
            <w:gridCol w:w="2898"/>
            <w:gridCol w:w="382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Oceny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(F – formująca (w trakcie semestru), P – podsumowująca (na koniec semestru)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Numer efektu uczenia się</w:t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Sposób oceny osiągnięcia efektu uczenia się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F1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– PEU_U02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Realizacja projektu i przygotowanie raportu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F2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PEU_U01 – PEU_U02</w:t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Prezentacja i obrona projektu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sz w:val="22"/>
                <w:szCs w:val="22"/>
                <w:rtl w:val="0"/>
              </w:rPr>
              <w:t xml:space="preserve">P = 0.8*F1 + 0.2*F2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230.0" w:type="dxa"/>
        <w:jc w:val="left"/>
        <w:tblInd w:w="-10.0" w:type="dxa"/>
        <w:tblLayout w:type="fixed"/>
        <w:tblLook w:val="0000"/>
      </w:tblPr>
      <w:tblGrid>
        <w:gridCol w:w="9230"/>
        <w:tblGridChange w:id="0">
          <w:tblGrid>
            <w:gridCol w:w="9230"/>
          </w:tblGrid>
        </w:tblGridChange>
      </w:tblGrid>
      <w:tr>
        <w:trPr>
          <w:cantSplit w:val="0"/>
          <w:trHeight w:val="38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B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PODSTAWOWA:</w:t>
            </w:r>
          </w:p>
          <w:p w:rsidR="00000000" w:rsidDel="00000000" w:rsidP="00000000" w:rsidRDefault="00000000" w:rsidRPr="00000000" w14:paraId="0000009D">
            <w:pPr>
              <w:numPr>
                <w:ilvl w:val="1"/>
                <w:numId w:val="4"/>
              </w:numPr>
              <w:ind w:left="439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Hughes, J., Dam, A. van, McGuire, M., Sklar, D., Foley, J., Feiner, S., &amp; Akeley, K. (2013). Computer Graphics: Principles and Practice (3rd edition). Addison-Wesley Professional.</w:t>
            </w:r>
          </w:p>
          <w:p w:rsidR="00000000" w:rsidDel="00000000" w:rsidP="00000000" w:rsidRDefault="00000000" w:rsidRPr="00000000" w14:paraId="0000009E">
            <w:pPr>
              <w:numPr>
                <w:ilvl w:val="1"/>
                <w:numId w:val="4"/>
              </w:numPr>
              <w:ind w:left="439" w:hanging="426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Scott, D. M. (2015). The New Rules of Marketing and PR: How to Use Social Media, Online Video, Mobile Applications, Blogs, News Releases, and Viral Marketing to Reach Buyers Directly (5th edition). Wiley.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numPr>
                <w:ilvl w:val="1"/>
                <w:numId w:val="4"/>
              </w:numPr>
              <w:ind w:left="439" w:hanging="426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Wedel, M., &amp; Pieters, R. (2007). Visual Marketing: From Attention to Action. Taylor &amp; Francis Group. </w:t>
            </w:r>
          </w:p>
          <w:p w:rsidR="00000000" w:rsidDel="00000000" w:rsidP="00000000" w:rsidRDefault="00000000" w:rsidRPr="00000000" w14:paraId="000000A0">
            <w:pPr>
              <w:ind w:left="43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60" w:lineRule="auto"/>
              <w:rPr>
                <w:b w:val="1"/>
                <w:smallCaps w:val="1"/>
                <w:u w:val="single"/>
              </w:rPr>
            </w:pPr>
            <w:r w:rsidDel="00000000" w:rsidR="00000000" w:rsidRPr="00000000">
              <w:rPr>
                <w:b w:val="1"/>
                <w:smallCaps w:val="1"/>
                <w:u w:val="single"/>
                <w:rtl w:val="0"/>
              </w:rPr>
              <w:t xml:space="preserve">LITERATURA UZUPEŁNIAJĄCA: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3"/>
              </w:numPr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Artykuły i materiały dydaktyczne z serwera http://ergonomia.ioz.pwr.wroc.pl. 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3"/>
              </w:numPr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Dokumentacja online oprogramowania 3ds Max https://help.autodesk.com.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Kotler, P., &amp; Keller, K. L. (2018). Marketing (23rd ed.). Dom Wydawniczy Rebis.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Poznań.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Lindsay P.H., Norman D.A. (1984). Procesy przetwarzania informacji u człowieka. Wprowadzenie do psy¬cho¬lo¬gii, Państwowe Wydawnictwo Naukowe, Warszawa.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ind w:left="439" w:hanging="439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Młodkowski J. (1998), Aktywność wizualna człowieka, Wydawnictwo Naukowe PWN, Warszawa, Łódź.</w:t>
            </w:r>
          </w:p>
          <w:p w:rsidR="00000000" w:rsidDel="00000000" w:rsidP="00000000" w:rsidRDefault="00000000" w:rsidRPr="00000000" w14:paraId="000000A7">
            <w:pPr>
              <w:ind w:left="439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8">
            <w:pPr>
              <w:rPr>
                <w:b w:val="1"/>
              </w:rPr>
            </w:pPr>
            <w:bookmarkStart w:colFirst="0" w:colLast="0" w:name="_heading=h.3znysh7" w:id="3"/>
            <w:bookmarkEnd w:id="3"/>
            <w:r w:rsidDel="00000000" w:rsidR="00000000" w:rsidRPr="00000000">
              <w:rPr>
                <w:b w:val="1"/>
                <w:rtl w:val="0"/>
              </w:rPr>
              <w:t xml:space="preserve">OPIEKUN PRZEDMIOTU (IMIĘ, NAZWISKO, ADRES E-MAIL)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spacing w:after="120" w:before="120" w:lineRule="auto"/>
              <w:ind w:left="357" w:firstLine="0"/>
              <w:rPr/>
            </w:pPr>
            <w:r w:rsidDel="00000000" w:rsidR="00000000" w:rsidRPr="00000000">
              <w:rPr>
                <w:rtl w:val="0"/>
              </w:rPr>
              <w:t xml:space="preserve">dr hab. inż. Rafał Michalski, prof. uczelni, </w:t>
            </w: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rafal.michalski@pwr.edu.pl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1418" w:top="1418" w:left="1418" w:right="1418" w:header="708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[%1]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[%2]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360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ind w:left="0" w:firstLine="0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0" w:firstLine="0"/>
      <w:jc w:val="center"/>
    </w:pPr>
    <w:rPr>
      <w:b w:val="1"/>
    </w:rPr>
  </w:style>
  <w:style w:type="paragraph" w:styleId="Heading4">
    <w:name w:val="heading 4"/>
    <w:basedOn w:val="Normal"/>
    <w:next w:val="Normal"/>
    <w:pPr>
      <w:keepNext w:val="1"/>
      <w:ind w:left="0" w:firstLine="0"/>
      <w:jc w:val="center"/>
    </w:pPr>
    <w:rPr>
      <w:b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  <w:ind w:left="0" w:firstLine="0"/>
    </w:pPr>
    <w:rPr>
      <w:b w:val="1"/>
      <w:sz w:val="18"/>
      <w:szCs w:val="18"/>
    </w:rPr>
  </w:style>
  <w:style w:type="paragraph" w:styleId="Heading6">
    <w:name w:val="heading 6"/>
    <w:basedOn w:val="Normal"/>
    <w:next w:val="Normal"/>
    <w:pPr>
      <w:keepNext w:val="1"/>
      <w:ind w:left="0" w:firstLine="0"/>
      <w:jc w:val="center"/>
    </w:pPr>
    <w:rPr>
      <w:b w:val="1"/>
      <w:sz w:val="18"/>
      <w:szCs w:val="1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pPr>
      <w:suppressAutoHyphens w:val="1"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 w:val="1"/>
    <w:pPr>
      <w:keepNext w:val="1"/>
      <w:numPr>
        <w:numId w:val="1"/>
      </w:numPr>
      <w:outlineLvl w:val="0"/>
    </w:pPr>
    <w:rPr>
      <w:b w:val="1"/>
      <w:bCs w:val="1"/>
      <w:sz w:val="28"/>
    </w:rPr>
  </w:style>
  <w:style w:type="paragraph" w:styleId="Nagwek2">
    <w:name w:val="heading 2"/>
    <w:basedOn w:val="Normalny"/>
    <w:next w:val="Normalny"/>
    <w:uiPriority w:val="9"/>
    <w:unhideWhenUsed w:val="1"/>
    <w:qFormat w:val="1"/>
    <w:pPr>
      <w:keepNext w:val="1"/>
      <w:numPr>
        <w:ilvl w:val="1"/>
        <w:numId w:val="1"/>
      </w:numPr>
      <w:outlineLvl w:val="1"/>
    </w:pPr>
    <w:rPr>
      <w:b w:val="1"/>
      <w:bCs w:val="1"/>
    </w:rPr>
  </w:style>
  <w:style w:type="paragraph" w:styleId="Nagwek3">
    <w:name w:val="heading 3"/>
    <w:basedOn w:val="Normalny"/>
    <w:next w:val="Normalny"/>
    <w:uiPriority w:val="9"/>
    <w:unhideWhenUsed w:val="1"/>
    <w:qFormat w:val="1"/>
    <w:pPr>
      <w:keepNext w:val="1"/>
      <w:numPr>
        <w:ilvl w:val="2"/>
        <w:numId w:val="1"/>
      </w:numPr>
      <w:jc w:val="center"/>
      <w:outlineLvl w:val="2"/>
    </w:pPr>
    <w:rPr>
      <w:b w:val="1"/>
      <w:bCs w:val="1"/>
    </w:rPr>
  </w:style>
  <w:style w:type="paragraph" w:styleId="Nagwek4">
    <w:name w:val="heading 4"/>
    <w:basedOn w:val="Normalny"/>
    <w:next w:val="Normalny"/>
    <w:uiPriority w:val="9"/>
    <w:unhideWhenUsed w:val="1"/>
    <w:qFormat w:val="1"/>
    <w:pPr>
      <w:keepNext w:val="1"/>
      <w:numPr>
        <w:ilvl w:val="3"/>
        <w:numId w:val="1"/>
      </w:numPr>
      <w:jc w:val="center"/>
      <w:outlineLvl w:val="3"/>
    </w:pPr>
    <w:rPr>
      <w:b w:val="1"/>
      <w:bCs w:val="1"/>
      <w:sz w:val="22"/>
    </w:rPr>
  </w:style>
  <w:style w:type="paragraph" w:styleId="Nagwek5">
    <w:name w:val="heading 5"/>
    <w:basedOn w:val="Normalny"/>
    <w:next w:val="Normalny"/>
    <w:uiPriority w:val="9"/>
    <w:unhideWhenUsed w:val="1"/>
    <w:qFormat w:val="1"/>
    <w:pPr>
      <w:keepNext w:val="1"/>
      <w:numPr>
        <w:ilvl w:val="4"/>
        <w:numId w:val="1"/>
      </w:numPr>
      <w:outlineLvl w:val="4"/>
    </w:pPr>
    <w:rPr>
      <w:b w:val="1"/>
      <w:bCs w:val="1"/>
      <w:sz w:val="18"/>
    </w:rPr>
  </w:style>
  <w:style w:type="paragraph" w:styleId="Nagwek6">
    <w:name w:val="heading 6"/>
    <w:basedOn w:val="Normalny"/>
    <w:next w:val="Normalny"/>
    <w:uiPriority w:val="9"/>
    <w:semiHidden w:val="1"/>
    <w:unhideWhenUsed w:val="1"/>
    <w:qFormat w:val="1"/>
    <w:pPr>
      <w:keepNext w:val="1"/>
      <w:numPr>
        <w:ilvl w:val="5"/>
        <w:numId w:val="1"/>
      </w:numPr>
      <w:jc w:val="center"/>
      <w:outlineLvl w:val="5"/>
    </w:pPr>
    <w:rPr>
      <w:b w:val="1"/>
      <w:bCs w:val="1"/>
      <w:sz w:val="18"/>
    </w:rPr>
  </w:style>
  <w:style w:type="paragraph" w:styleId="Nagwek7">
    <w:name w:val="heading 7"/>
    <w:basedOn w:val="Normalny"/>
    <w:next w:val="Normalny"/>
    <w:qFormat w:val="1"/>
    <w:pPr>
      <w:keepNext w:val="1"/>
      <w:numPr>
        <w:ilvl w:val="6"/>
        <w:numId w:val="1"/>
      </w:numPr>
      <w:spacing w:after="60" w:before="60"/>
      <w:outlineLvl w:val="6"/>
    </w:pPr>
    <w:rPr>
      <w:rFonts w:ascii="Arial" w:cs="Arial" w:hAnsi="Arial"/>
      <w:b w:val="1"/>
      <w:bCs w:val="1"/>
      <w:caps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cs="Times New Roman" w:eastAsia="Times New Roman" w:hAnsi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</w:rPr>
  </w:style>
  <w:style w:type="paragraph" w:styleId="Indeks" w:customStyle="1">
    <w:name w:val="Indeks"/>
    <w:basedOn w:val="Normalny"/>
    <w:pPr>
      <w:suppressLineNumbers w:val="1"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Mangal" w:eastAsia="SimSun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Mangal"/>
      <w:i w:val="1"/>
      <w:iCs w:val="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 w:val="1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kapitzlist">
    <w:name w:val="List Paragraph"/>
    <w:basedOn w:val="Normalny"/>
    <w:uiPriority w:val="34"/>
    <w:qFormat w:val="1"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 w:val="1"/>
      <w:bCs w:val="1"/>
    </w:rPr>
  </w:style>
  <w:style w:type="character" w:styleId="TematkomentarzaZnak" w:customStyle="1">
    <w:name w:val="Temat komentarza Znak"/>
    <w:link w:val="Tematkomentarza"/>
    <w:rsid w:val="00182C94"/>
    <w:rPr>
      <w:b w:val="1"/>
      <w:bCs w:val="1"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cs="Tahoma" w:hAnsi="Tahoma"/>
      <w:sz w:val="16"/>
      <w:szCs w:val="16"/>
      <w:lang w:eastAsia="ar-SA"/>
    </w:rPr>
  </w:style>
  <w:style w:type="paragraph" w:styleId="Default" w:customStyle="1">
    <w:name w:val="Default"/>
    <w:rsid w:val="00247E26"/>
    <w:pPr>
      <w:autoSpaceDE w:val="0"/>
      <w:autoSpaceDN w:val="0"/>
      <w:adjustRightInd w:val="0"/>
    </w:pPr>
    <w:rPr>
      <w:color w:val="000000"/>
    </w:rPr>
  </w:style>
  <w:style w:type="paragraph" w:styleId="Podtytu">
    <w:name w:val="Subtitle"/>
    <w:basedOn w:val="Normalny"/>
    <w:next w:val="Normalny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character" w:styleId="Uwydatnienie">
    <w:name w:val="Emphasis"/>
    <w:basedOn w:val="Domylnaczcionkaakapitu"/>
    <w:uiPriority w:val="20"/>
    <w:qFormat w:val="1"/>
    <w:rsid w:val="004841E5"/>
    <w:rPr>
      <w:i w:val="1"/>
      <w:iCs w:val="1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8F5D37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afal.michalski@pwr.edu.pl" TargetMode="Externa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TrHOjkgw3WdrjLSmxdQXkI9IlZw==">AMUW2mWIvJTpR6Fl6/BbdD+udYKrobnvgG78szKM0rC1XbNx1DU2kollsD9ZgLPNk4RudaZWF6zHL97Su73sjBzv7Rggt49gDCOkqJrp1ZI4tSPJIQL/w6oCpreK2YeE2BB6KN1nYZo8BGGH/fu4fCvp5iVS3rmx/aWATT9Vr2v3NnTZsg8ppnM=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2023-03-03T14:45:00Z</dcterms:created>
  <dc:creator>Hanna Helman</dc:creator>
</cp:coreProperties>
</file>